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B2" w:rsidRPr="00F62C75" w:rsidRDefault="00F62C75" w:rsidP="00F62C75">
      <w:pPr>
        <w:keepNext/>
        <w:keepLines/>
        <w:spacing w:before="280" w:after="240"/>
        <w:outlineLvl w:val="2"/>
        <w:rPr>
          <w:b/>
          <w:bCs/>
          <w:sz w:val="28"/>
          <w:szCs w:val="22"/>
        </w:rPr>
      </w:pPr>
      <w:bookmarkStart w:id="0" w:name="_GoBack"/>
      <w:bookmarkEnd w:id="0"/>
      <w:r>
        <w:rPr>
          <w:b/>
          <w:bCs/>
          <w:sz w:val="28"/>
          <w:szCs w:val="22"/>
        </w:rPr>
        <w:t xml:space="preserve">Marking and Standardisation Workshop – Business: Graded Unit 2 </w:t>
      </w:r>
    </w:p>
    <w:p w:rsidR="005E09B2" w:rsidRPr="00F62C75" w:rsidRDefault="005E09B2" w:rsidP="005E09B2">
      <w:pPr>
        <w:rPr>
          <w:rFonts w:eastAsia="Calibri"/>
          <w:b/>
          <w:szCs w:val="22"/>
        </w:rPr>
      </w:pPr>
      <w:r w:rsidRPr="00F62C75">
        <w:rPr>
          <w:rFonts w:eastAsia="Calibri"/>
          <w:b/>
          <w:szCs w:val="22"/>
        </w:rPr>
        <w:t>Evidence Requirements</w:t>
      </w:r>
      <w:r w:rsidR="00F62C75" w:rsidRPr="00F62C75">
        <w:rPr>
          <w:rFonts w:eastAsia="Calibri"/>
          <w:b/>
          <w:szCs w:val="22"/>
        </w:rPr>
        <w:t xml:space="preserve"> -</w:t>
      </w:r>
      <w:r w:rsidR="00F62C75">
        <w:rPr>
          <w:rFonts w:eastAsia="Calibri"/>
          <w:szCs w:val="22"/>
        </w:rPr>
        <w:t xml:space="preserve"> </w:t>
      </w:r>
      <w:r w:rsidR="00F62C75">
        <w:rPr>
          <w:rFonts w:eastAsia="Calibri"/>
          <w:b/>
          <w:szCs w:val="22"/>
        </w:rPr>
        <w:t>Stage 3: Evaluating (24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417"/>
        <w:gridCol w:w="2126"/>
        <w:gridCol w:w="1984"/>
        <w:gridCol w:w="2160"/>
      </w:tblGrid>
      <w:tr w:rsidR="00F62C75" w:rsidRPr="00924FEE" w:rsidTr="00F62C75">
        <w:tc>
          <w:tcPr>
            <w:tcW w:w="2288" w:type="pct"/>
          </w:tcPr>
          <w:p w:rsidR="000E5B17" w:rsidRPr="00924FEE" w:rsidRDefault="000E5B17" w:rsidP="004E6648">
            <w:pPr>
              <w:rPr>
                <w:rFonts w:eastAsia="Calibri"/>
                <w:b/>
                <w:szCs w:val="22"/>
              </w:rPr>
            </w:pPr>
          </w:p>
        </w:tc>
        <w:tc>
          <w:tcPr>
            <w:tcW w:w="500" w:type="pct"/>
          </w:tcPr>
          <w:p w:rsidR="000E5B17" w:rsidRPr="00924FEE" w:rsidRDefault="000E5B17" w:rsidP="004E6648">
            <w:pPr>
              <w:rPr>
                <w:rFonts w:eastAsia="Calibri"/>
                <w:b/>
                <w:szCs w:val="22"/>
              </w:rPr>
            </w:pPr>
          </w:p>
        </w:tc>
        <w:tc>
          <w:tcPr>
            <w:tcW w:w="750" w:type="pct"/>
          </w:tcPr>
          <w:p w:rsidR="000E5B17" w:rsidRPr="00924FEE" w:rsidRDefault="00490378" w:rsidP="004E6648">
            <w:pPr>
              <w:rPr>
                <w:rFonts w:eastAsia="Calibri"/>
                <w:b/>
                <w:szCs w:val="22"/>
              </w:rPr>
            </w:pPr>
            <w:r>
              <w:rPr>
                <w:rFonts w:eastAsia="Calibri"/>
                <w:b/>
                <w:szCs w:val="22"/>
              </w:rPr>
              <w:t>Alison Barker</w:t>
            </w:r>
          </w:p>
        </w:tc>
        <w:tc>
          <w:tcPr>
            <w:tcW w:w="700" w:type="pct"/>
          </w:tcPr>
          <w:p w:rsidR="000E5B17" w:rsidRPr="00924FEE" w:rsidRDefault="00490378" w:rsidP="004E6648">
            <w:pPr>
              <w:rPr>
                <w:rFonts w:eastAsia="Calibri"/>
                <w:b/>
                <w:szCs w:val="22"/>
              </w:rPr>
            </w:pPr>
            <w:r>
              <w:rPr>
                <w:rFonts w:eastAsia="Calibri"/>
                <w:b/>
                <w:szCs w:val="22"/>
              </w:rPr>
              <w:t>Charles Ford</w:t>
            </w:r>
          </w:p>
        </w:tc>
        <w:tc>
          <w:tcPr>
            <w:tcW w:w="762" w:type="pct"/>
          </w:tcPr>
          <w:p w:rsidR="000E5B17" w:rsidRPr="00924FEE" w:rsidRDefault="00490378" w:rsidP="004E6648">
            <w:pPr>
              <w:rPr>
                <w:rFonts w:eastAsia="Calibri"/>
                <w:b/>
                <w:szCs w:val="22"/>
              </w:rPr>
            </w:pPr>
            <w:r>
              <w:rPr>
                <w:rFonts w:eastAsia="Calibri"/>
                <w:b/>
                <w:szCs w:val="22"/>
              </w:rPr>
              <w:t>Frances Fairfax</w:t>
            </w:r>
          </w:p>
        </w:tc>
      </w:tr>
      <w:tr w:rsidR="00F62C75" w:rsidRPr="00924FEE" w:rsidTr="00F62C75">
        <w:tc>
          <w:tcPr>
            <w:tcW w:w="2288" w:type="pct"/>
          </w:tcPr>
          <w:p w:rsidR="000E5B17" w:rsidRPr="00924FEE" w:rsidRDefault="000E5B17" w:rsidP="004E6648">
            <w:pPr>
              <w:rPr>
                <w:rFonts w:eastAsia="Calibri"/>
                <w:b/>
                <w:szCs w:val="22"/>
              </w:rPr>
            </w:pPr>
            <w:r w:rsidRPr="00924FEE">
              <w:rPr>
                <w:rFonts w:eastAsia="Calibri"/>
                <w:b/>
                <w:szCs w:val="22"/>
              </w:rPr>
              <w:t>Evaluating Stage</w:t>
            </w:r>
          </w:p>
          <w:p w:rsidR="000E5B17" w:rsidRPr="00924FEE" w:rsidRDefault="000E5B17" w:rsidP="004E6648">
            <w:pPr>
              <w:rPr>
                <w:rFonts w:eastAsia="Calibri"/>
                <w:b/>
                <w:szCs w:val="22"/>
              </w:rPr>
            </w:pPr>
            <w:r w:rsidRPr="00924FEE">
              <w:rPr>
                <w:rFonts w:eastAsia="Calibri"/>
                <w:b/>
                <w:szCs w:val="22"/>
              </w:rPr>
              <w:t>Minimum evidence requirements</w:t>
            </w:r>
          </w:p>
        </w:tc>
        <w:tc>
          <w:tcPr>
            <w:tcW w:w="500" w:type="pct"/>
          </w:tcPr>
          <w:p w:rsidR="000E5B17" w:rsidRPr="00924FEE" w:rsidRDefault="000E5B17" w:rsidP="004E6648">
            <w:pPr>
              <w:rPr>
                <w:rFonts w:eastAsia="Calibri"/>
                <w:b/>
                <w:szCs w:val="22"/>
              </w:rPr>
            </w:pPr>
            <w:r w:rsidRPr="00924FEE">
              <w:rPr>
                <w:rFonts w:eastAsia="Calibri"/>
                <w:b/>
                <w:szCs w:val="22"/>
              </w:rPr>
              <w:t>Minimum</w:t>
            </w:r>
          </w:p>
          <w:p w:rsidR="000E5B17" w:rsidRPr="00924FEE" w:rsidRDefault="000E5B17" w:rsidP="004E6648">
            <w:pPr>
              <w:rPr>
                <w:rFonts w:eastAsia="Calibri"/>
                <w:b/>
                <w:szCs w:val="22"/>
              </w:rPr>
            </w:pPr>
            <w:r w:rsidRPr="00924FEE">
              <w:rPr>
                <w:rFonts w:eastAsia="Calibri"/>
                <w:b/>
                <w:szCs w:val="22"/>
              </w:rPr>
              <w:t>Mark</w:t>
            </w:r>
          </w:p>
          <w:p w:rsidR="000E5B17" w:rsidRPr="00924FEE" w:rsidRDefault="000E5B17" w:rsidP="004E6648">
            <w:pPr>
              <w:rPr>
                <w:rFonts w:eastAsia="Calibri"/>
                <w:b/>
                <w:szCs w:val="22"/>
              </w:rPr>
            </w:pPr>
            <w:r w:rsidRPr="00924FEE">
              <w:rPr>
                <w:rFonts w:eastAsia="Calibri"/>
                <w:b/>
                <w:szCs w:val="22"/>
              </w:rPr>
              <w:t>Required *</w:t>
            </w:r>
          </w:p>
        </w:tc>
        <w:tc>
          <w:tcPr>
            <w:tcW w:w="750" w:type="pct"/>
          </w:tcPr>
          <w:p w:rsidR="000E5B17" w:rsidRPr="00924FEE" w:rsidRDefault="000E5B17" w:rsidP="004E6648">
            <w:pPr>
              <w:rPr>
                <w:rFonts w:eastAsia="Calibri"/>
                <w:b/>
                <w:szCs w:val="22"/>
              </w:rPr>
            </w:pPr>
            <w:r w:rsidRPr="00924FEE">
              <w:rPr>
                <w:rFonts w:eastAsia="Calibri"/>
                <w:b/>
                <w:szCs w:val="22"/>
              </w:rPr>
              <w:t>Criteria met for additional mark(s)**</w:t>
            </w:r>
            <w:r>
              <w:rPr>
                <w:rFonts w:eastAsia="Calibri"/>
                <w:b/>
                <w:szCs w:val="22"/>
              </w:rPr>
              <w:t xml:space="preserve"> &amp; </w:t>
            </w:r>
            <w:r w:rsidR="00F62C75">
              <w:rPr>
                <w:rFonts w:eastAsia="Calibri"/>
                <w:b/>
                <w:szCs w:val="22"/>
              </w:rPr>
              <w:t xml:space="preserve">Total </w:t>
            </w:r>
            <w:r w:rsidRPr="00924FEE">
              <w:rPr>
                <w:rFonts w:eastAsia="Calibri"/>
                <w:b/>
                <w:szCs w:val="22"/>
              </w:rPr>
              <w:t xml:space="preserve">Marks </w:t>
            </w:r>
          </w:p>
          <w:p w:rsidR="000E5B17" w:rsidRPr="00924FEE" w:rsidRDefault="000E5B17" w:rsidP="004E6648">
            <w:pPr>
              <w:rPr>
                <w:rFonts w:eastAsia="Calibri"/>
                <w:b/>
                <w:szCs w:val="22"/>
              </w:rPr>
            </w:pPr>
            <w:r w:rsidRPr="00924FEE">
              <w:rPr>
                <w:rFonts w:eastAsia="Calibri"/>
                <w:b/>
                <w:szCs w:val="22"/>
              </w:rPr>
              <w:t>Awarded</w:t>
            </w:r>
            <w:r>
              <w:rPr>
                <w:rFonts w:eastAsia="Calibri"/>
                <w:b/>
                <w:szCs w:val="22"/>
              </w:rPr>
              <w:t xml:space="preserve"> </w:t>
            </w:r>
          </w:p>
        </w:tc>
        <w:tc>
          <w:tcPr>
            <w:tcW w:w="700" w:type="pct"/>
          </w:tcPr>
          <w:p w:rsidR="000E5B17" w:rsidRPr="00924FEE" w:rsidRDefault="000E5B17" w:rsidP="000E5B17">
            <w:pPr>
              <w:rPr>
                <w:rFonts w:eastAsia="Calibri"/>
                <w:b/>
                <w:szCs w:val="22"/>
              </w:rPr>
            </w:pPr>
            <w:r w:rsidRPr="00924FEE">
              <w:rPr>
                <w:rFonts w:eastAsia="Calibri"/>
                <w:b/>
                <w:szCs w:val="22"/>
              </w:rPr>
              <w:t>Criteria met for additional mark(s)**</w:t>
            </w:r>
            <w:r>
              <w:rPr>
                <w:rFonts w:eastAsia="Calibri"/>
                <w:b/>
                <w:szCs w:val="22"/>
              </w:rPr>
              <w:t xml:space="preserve"> &amp; </w:t>
            </w:r>
            <w:r w:rsidR="00F62C75">
              <w:rPr>
                <w:rFonts w:eastAsia="Calibri"/>
                <w:b/>
                <w:szCs w:val="22"/>
              </w:rPr>
              <w:t xml:space="preserve">Total </w:t>
            </w:r>
            <w:r w:rsidRPr="00924FEE">
              <w:rPr>
                <w:rFonts w:eastAsia="Calibri"/>
                <w:b/>
                <w:szCs w:val="22"/>
              </w:rPr>
              <w:t xml:space="preserve">Marks </w:t>
            </w:r>
          </w:p>
          <w:p w:rsidR="000E5B17" w:rsidRPr="00924FEE" w:rsidRDefault="000E5B17" w:rsidP="000E5B17">
            <w:pPr>
              <w:rPr>
                <w:rFonts w:eastAsia="Calibri"/>
                <w:b/>
                <w:szCs w:val="22"/>
              </w:rPr>
            </w:pPr>
            <w:r w:rsidRPr="00924FEE">
              <w:rPr>
                <w:rFonts w:eastAsia="Calibri"/>
                <w:b/>
                <w:szCs w:val="22"/>
              </w:rPr>
              <w:t>Awarded</w:t>
            </w:r>
          </w:p>
        </w:tc>
        <w:tc>
          <w:tcPr>
            <w:tcW w:w="762" w:type="pct"/>
          </w:tcPr>
          <w:p w:rsidR="000E5B17" w:rsidRPr="00924FEE" w:rsidRDefault="000E5B17" w:rsidP="000E5B17">
            <w:pPr>
              <w:rPr>
                <w:rFonts w:eastAsia="Calibri"/>
                <w:b/>
                <w:szCs w:val="22"/>
              </w:rPr>
            </w:pPr>
            <w:r w:rsidRPr="00924FEE">
              <w:rPr>
                <w:rFonts w:eastAsia="Calibri"/>
                <w:b/>
                <w:szCs w:val="22"/>
              </w:rPr>
              <w:t>Criteria met for additional mark(s)**</w:t>
            </w:r>
            <w:r>
              <w:rPr>
                <w:rFonts w:eastAsia="Calibri"/>
                <w:b/>
                <w:szCs w:val="22"/>
              </w:rPr>
              <w:t xml:space="preserve"> &amp; </w:t>
            </w:r>
            <w:r w:rsidR="00F62C75">
              <w:rPr>
                <w:rFonts w:eastAsia="Calibri"/>
                <w:b/>
                <w:szCs w:val="22"/>
              </w:rPr>
              <w:t xml:space="preserve">Total </w:t>
            </w:r>
            <w:r w:rsidRPr="00924FEE">
              <w:rPr>
                <w:rFonts w:eastAsia="Calibri"/>
                <w:b/>
                <w:szCs w:val="22"/>
              </w:rPr>
              <w:t xml:space="preserve">Marks </w:t>
            </w:r>
          </w:p>
          <w:p w:rsidR="000E5B17" w:rsidRPr="00924FEE" w:rsidRDefault="000E5B17" w:rsidP="000E5B17">
            <w:pPr>
              <w:rPr>
                <w:rFonts w:eastAsia="Calibri"/>
                <w:b/>
                <w:szCs w:val="22"/>
              </w:rPr>
            </w:pPr>
            <w:r w:rsidRPr="00924FEE">
              <w:rPr>
                <w:rFonts w:eastAsia="Calibri"/>
                <w:b/>
                <w:szCs w:val="22"/>
              </w:rPr>
              <w:t>Awarded</w:t>
            </w: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t>1</w:t>
            </w:r>
            <w:r w:rsidRPr="00924FEE">
              <w:rPr>
                <w:rFonts w:cs="Arial"/>
              </w:rPr>
              <w:tab/>
              <w:t>A brief outline of the investigation</w:t>
            </w:r>
          </w:p>
        </w:tc>
        <w:tc>
          <w:tcPr>
            <w:tcW w:w="500" w:type="pct"/>
          </w:tcPr>
          <w:p w:rsidR="000E5B17" w:rsidRPr="00F62C75" w:rsidRDefault="000E5B17" w:rsidP="00F62C75">
            <w:pPr>
              <w:jc w:val="center"/>
              <w:rPr>
                <w:rFonts w:eastAsia="Calibri"/>
                <w:b/>
                <w:szCs w:val="22"/>
              </w:rPr>
            </w:pPr>
            <w:r w:rsidRPr="00F62C75">
              <w:rPr>
                <w:rFonts w:eastAsia="Calibri"/>
                <w:b/>
                <w:szCs w:val="22"/>
              </w:rPr>
              <w:t>1</w:t>
            </w:r>
          </w:p>
        </w:tc>
        <w:tc>
          <w:tcPr>
            <w:tcW w:w="750" w:type="pct"/>
          </w:tcPr>
          <w:p w:rsidR="000E5B17" w:rsidRPr="00924FEE" w:rsidRDefault="000E5B17"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t>2</w:t>
            </w:r>
            <w:r w:rsidRPr="00924FEE">
              <w:rPr>
                <w:rFonts w:cs="Arial"/>
              </w:rPr>
              <w:tab/>
              <w:t>Assessment of the extent to which each of the original objectives of the investigation have been met. This should include reference to any modifications made during the course of the investigation and their importance and to any alternative courses of action considered but rejected. Throughout, the assessment should be supported with credible reasons</w:t>
            </w:r>
          </w:p>
        </w:tc>
        <w:tc>
          <w:tcPr>
            <w:tcW w:w="500" w:type="pct"/>
          </w:tcPr>
          <w:p w:rsidR="000E5B17" w:rsidRPr="00F62C75" w:rsidRDefault="000E5B17" w:rsidP="00F62C75">
            <w:pPr>
              <w:jc w:val="center"/>
              <w:rPr>
                <w:rFonts w:eastAsia="Calibri"/>
                <w:b/>
                <w:szCs w:val="22"/>
              </w:rPr>
            </w:pPr>
            <w:r w:rsidRPr="00F62C75">
              <w:rPr>
                <w:rFonts w:eastAsia="Calibri"/>
                <w:b/>
                <w:szCs w:val="22"/>
              </w:rPr>
              <w:t>2</w:t>
            </w:r>
          </w:p>
        </w:tc>
        <w:tc>
          <w:tcPr>
            <w:tcW w:w="750" w:type="pct"/>
          </w:tcPr>
          <w:p w:rsidR="000E5B17" w:rsidRPr="00924FEE" w:rsidRDefault="000E5B17" w:rsidP="004E6648">
            <w:pPr>
              <w:rPr>
                <w:rFonts w:eastAsia="Calibri"/>
                <w:szCs w:val="22"/>
              </w:rPr>
            </w:pPr>
          </w:p>
        </w:tc>
        <w:tc>
          <w:tcPr>
            <w:tcW w:w="700" w:type="pct"/>
            <w:shd w:val="clear" w:color="auto" w:fill="FFFFFF"/>
          </w:tcPr>
          <w:p w:rsidR="000E5B17" w:rsidRPr="00924FEE" w:rsidRDefault="000E5B17" w:rsidP="004E6648">
            <w:pPr>
              <w:rPr>
                <w:rFonts w:eastAsia="Calibri"/>
                <w:szCs w:val="22"/>
              </w:rPr>
            </w:pPr>
          </w:p>
        </w:tc>
        <w:tc>
          <w:tcPr>
            <w:tcW w:w="762" w:type="pct"/>
            <w:shd w:val="clear" w:color="auto" w:fill="FFFFFF"/>
          </w:tcPr>
          <w:p w:rsidR="000E5B17" w:rsidRPr="00924FEE" w:rsidRDefault="000E5B17" w:rsidP="004E6648">
            <w:pPr>
              <w:rPr>
                <w:rFonts w:eastAsia="Calibri"/>
                <w:szCs w:val="22"/>
              </w:rPr>
            </w:pP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t>3</w:t>
            </w:r>
            <w:r w:rsidRPr="00924FEE">
              <w:rPr>
                <w:rFonts w:cs="Arial"/>
              </w:rPr>
              <w:tab/>
              <w:t xml:space="preserve">Commentary on aspects of the Planning and developing stages which worked effectively and why and/or aspects of the Planning and Developing stages which did not work as effectively as expected. Three separate aspects should be covered — one for the planning brief, one for the plan and one for the development report </w:t>
            </w:r>
          </w:p>
        </w:tc>
        <w:tc>
          <w:tcPr>
            <w:tcW w:w="500" w:type="pct"/>
          </w:tcPr>
          <w:p w:rsidR="000E5B17" w:rsidRPr="00F62C75" w:rsidRDefault="000E5B17" w:rsidP="00F62C75">
            <w:pPr>
              <w:jc w:val="center"/>
              <w:rPr>
                <w:rFonts w:eastAsia="Calibri"/>
                <w:b/>
                <w:szCs w:val="22"/>
              </w:rPr>
            </w:pPr>
            <w:r w:rsidRPr="00F62C75">
              <w:rPr>
                <w:rFonts w:eastAsia="Calibri"/>
                <w:b/>
                <w:szCs w:val="22"/>
              </w:rPr>
              <w:t>2</w:t>
            </w:r>
          </w:p>
        </w:tc>
        <w:tc>
          <w:tcPr>
            <w:tcW w:w="750" w:type="pct"/>
          </w:tcPr>
          <w:p w:rsidR="000E5B17" w:rsidRPr="00924FEE" w:rsidRDefault="000E5B17"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t>4</w:t>
            </w:r>
            <w:r w:rsidRPr="00924FEE">
              <w:rPr>
                <w:rFonts w:cs="Arial"/>
              </w:rPr>
              <w:tab/>
              <w:t xml:space="preserve">Assessment of the reliability and validity of the primary and secondary sources of information </w:t>
            </w:r>
          </w:p>
        </w:tc>
        <w:tc>
          <w:tcPr>
            <w:tcW w:w="500" w:type="pct"/>
          </w:tcPr>
          <w:p w:rsidR="000E5B17" w:rsidRDefault="000E5B17" w:rsidP="00F62C75">
            <w:pPr>
              <w:jc w:val="center"/>
              <w:rPr>
                <w:rFonts w:eastAsia="Calibri"/>
                <w:b/>
                <w:szCs w:val="22"/>
              </w:rPr>
            </w:pPr>
            <w:r w:rsidRPr="00F62C75">
              <w:rPr>
                <w:rFonts w:eastAsia="Calibri"/>
                <w:b/>
                <w:szCs w:val="22"/>
              </w:rPr>
              <w:t>1</w:t>
            </w: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Pr="00F62C75" w:rsidRDefault="00443278" w:rsidP="00F62C75">
            <w:pPr>
              <w:jc w:val="center"/>
              <w:rPr>
                <w:rFonts w:eastAsia="Calibri"/>
                <w:b/>
                <w:szCs w:val="22"/>
              </w:rPr>
            </w:pPr>
          </w:p>
        </w:tc>
        <w:tc>
          <w:tcPr>
            <w:tcW w:w="750" w:type="pct"/>
          </w:tcPr>
          <w:p w:rsidR="000E5B17" w:rsidRPr="00924FEE" w:rsidRDefault="000E5B17"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lastRenderedPageBreak/>
              <w:t>5</w:t>
            </w:r>
            <w:r w:rsidRPr="00924FEE">
              <w:rPr>
                <w:rFonts w:cs="Arial"/>
              </w:rPr>
              <w:tab/>
              <w:t>Assessment of the strengths and weaknesses of the report of the investigation. This should be supported by credible reasons and cover at least one strength and at least one weakness</w:t>
            </w:r>
          </w:p>
        </w:tc>
        <w:tc>
          <w:tcPr>
            <w:tcW w:w="500" w:type="pct"/>
          </w:tcPr>
          <w:p w:rsidR="000E5B17" w:rsidRDefault="000E5B17" w:rsidP="00F62C75">
            <w:pPr>
              <w:jc w:val="center"/>
              <w:rPr>
                <w:rFonts w:eastAsia="Calibri"/>
                <w:b/>
                <w:szCs w:val="22"/>
              </w:rPr>
            </w:pPr>
            <w:r w:rsidRPr="00F62C75">
              <w:rPr>
                <w:rFonts w:eastAsia="Calibri"/>
                <w:b/>
                <w:szCs w:val="22"/>
              </w:rPr>
              <w:t>2</w:t>
            </w: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Pr="00F62C75" w:rsidRDefault="00443278" w:rsidP="00F62C75">
            <w:pPr>
              <w:jc w:val="center"/>
              <w:rPr>
                <w:rFonts w:eastAsia="Calibri"/>
                <w:b/>
                <w:szCs w:val="22"/>
              </w:rPr>
            </w:pPr>
          </w:p>
        </w:tc>
        <w:tc>
          <w:tcPr>
            <w:tcW w:w="750" w:type="pct"/>
          </w:tcPr>
          <w:p w:rsidR="000E5B17" w:rsidRPr="00924FEE" w:rsidRDefault="000E5B17"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t>6</w:t>
            </w:r>
            <w:r w:rsidRPr="00924FEE">
              <w:rPr>
                <w:rFonts w:cs="Arial"/>
              </w:rPr>
              <w:tab/>
              <w:t>Recommendations for future investigations. These should be based on items above and must relate to the personal development of the learner (</w:t>
            </w:r>
            <w:proofErr w:type="spellStart"/>
            <w:r w:rsidRPr="00924FEE">
              <w:rPr>
                <w:rFonts w:cs="Arial"/>
              </w:rPr>
              <w:t>eg</w:t>
            </w:r>
            <w:proofErr w:type="spellEnd"/>
            <w:r w:rsidRPr="00924FEE">
              <w:rPr>
                <w:rFonts w:cs="Arial"/>
              </w:rPr>
              <w:t xml:space="preserve"> in terms of the further development of skills used in this investigation) and aspects of the process or product of the investigation (</w:t>
            </w:r>
            <w:proofErr w:type="spellStart"/>
            <w:r w:rsidRPr="00924FEE">
              <w:rPr>
                <w:rFonts w:cs="Arial"/>
              </w:rPr>
              <w:t>eg</w:t>
            </w:r>
            <w:proofErr w:type="spellEnd"/>
            <w:r w:rsidRPr="00924FEE">
              <w:rPr>
                <w:rFonts w:cs="Arial"/>
              </w:rPr>
              <w:t xml:space="preserve"> with respect to setting timescales, gathering information or possible future investigations). It should be clear from the recommendations that the learner has reflected on what happened and has drawn conclusions from this reflection </w:t>
            </w:r>
          </w:p>
        </w:tc>
        <w:tc>
          <w:tcPr>
            <w:tcW w:w="500" w:type="pct"/>
          </w:tcPr>
          <w:p w:rsidR="000E5B17" w:rsidRPr="00F62C75" w:rsidRDefault="000E5B17" w:rsidP="00F62C75">
            <w:pPr>
              <w:jc w:val="center"/>
              <w:rPr>
                <w:rFonts w:eastAsia="Calibri"/>
                <w:b/>
                <w:szCs w:val="22"/>
              </w:rPr>
            </w:pPr>
            <w:r w:rsidRPr="00F62C75">
              <w:rPr>
                <w:rFonts w:eastAsia="Calibri"/>
                <w:b/>
                <w:szCs w:val="22"/>
              </w:rPr>
              <w:t>2</w:t>
            </w:r>
          </w:p>
        </w:tc>
        <w:tc>
          <w:tcPr>
            <w:tcW w:w="750" w:type="pct"/>
          </w:tcPr>
          <w:p w:rsidR="000E5B17" w:rsidRPr="00924FEE" w:rsidRDefault="000E5B17"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r w:rsidR="00F62C75" w:rsidRPr="00924FEE" w:rsidTr="00F62C75">
        <w:tc>
          <w:tcPr>
            <w:tcW w:w="2288" w:type="pct"/>
          </w:tcPr>
          <w:p w:rsidR="000E5B17" w:rsidRPr="00924FEE" w:rsidRDefault="000E5B17" w:rsidP="004E6648">
            <w:pPr>
              <w:tabs>
                <w:tab w:val="left" w:pos="284"/>
              </w:tabs>
              <w:autoSpaceDE w:val="0"/>
              <w:autoSpaceDN w:val="0"/>
              <w:adjustRightInd w:val="0"/>
              <w:ind w:left="284" w:hanging="284"/>
              <w:rPr>
                <w:rFonts w:cs="Arial"/>
              </w:rPr>
            </w:pPr>
            <w:r w:rsidRPr="00F62C75">
              <w:rPr>
                <w:rFonts w:cs="Arial"/>
                <w:b/>
              </w:rPr>
              <w:t>7</w:t>
            </w:r>
            <w:r w:rsidRPr="00924FEE">
              <w:rPr>
                <w:rFonts w:cs="Arial"/>
              </w:rPr>
              <w:tab/>
              <w:t xml:space="preserve">Assessment of new skills and knowledge gained during the process of the investigation </w:t>
            </w:r>
          </w:p>
        </w:tc>
        <w:tc>
          <w:tcPr>
            <w:tcW w:w="500" w:type="pct"/>
          </w:tcPr>
          <w:p w:rsidR="000E5B17" w:rsidRDefault="000E5B17" w:rsidP="00F62C75">
            <w:pPr>
              <w:jc w:val="center"/>
              <w:rPr>
                <w:rFonts w:eastAsia="Calibri"/>
                <w:b/>
                <w:szCs w:val="22"/>
              </w:rPr>
            </w:pPr>
            <w:r w:rsidRPr="00F62C75">
              <w:rPr>
                <w:rFonts w:eastAsia="Calibri"/>
                <w:b/>
                <w:szCs w:val="22"/>
              </w:rPr>
              <w:t>2</w:t>
            </w: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Pr="00F62C75" w:rsidRDefault="00443278" w:rsidP="00F62C75">
            <w:pPr>
              <w:jc w:val="center"/>
              <w:rPr>
                <w:rFonts w:eastAsia="Calibri"/>
                <w:b/>
                <w:szCs w:val="22"/>
              </w:rPr>
            </w:pPr>
          </w:p>
        </w:tc>
        <w:tc>
          <w:tcPr>
            <w:tcW w:w="750" w:type="pct"/>
          </w:tcPr>
          <w:p w:rsidR="000E5B17" w:rsidRDefault="000E5B17"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Pr="00924FEE" w:rsidRDefault="00443278"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r w:rsidR="00F62C75" w:rsidRPr="00924FEE" w:rsidTr="00F62C75">
        <w:tc>
          <w:tcPr>
            <w:tcW w:w="2288" w:type="pct"/>
          </w:tcPr>
          <w:p w:rsidR="000E5B17" w:rsidRDefault="000E5B17" w:rsidP="004E6648">
            <w:pPr>
              <w:rPr>
                <w:rFonts w:eastAsia="Calibri"/>
                <w:b/>
                <w:szCs w:val="22"/>
              </w:rPr>
            </w:pPr>
            <w:r w:rsidRPr="00924FEE">
              <w:rPr>
                <w:rFonts w:eastAsia="Calibri"/>
                <w:b/>
                <w:szCs w:val="22"/>
              </w:rPr>
              <w:t>Total marks awarded</w:t>
            </w:r>
            <w:r w:rsidR="005651EB">
              <w:rPr>
                <w:rFonts w:eastAsia="Calibri"/>
                <w:b/>
                <w:szCs w:val="22"/>
              </w:rPr>
              <w:t>/Grade</w:t>
            </w:r>
          </w:p>
          <w:p w:rsidR="00443278" w:rsidRPr="00924FEE" w:rsidRDefault="00443278" w:rsidP="004E6648">
            <w:pPr>
              <w:rPr>
                <w:rFonts w:eastAsia="Calibri"/>
                <w:szCs w:val="22"/>
              </w:rPr>
            </w:pPr>
            <w:r>
              <w:rPr>
                <w:rFonts w:eastAsia="Calibri"/>
                <w:b/>
                <w:szCs w:val="22"/>
              </w:rPr>
              <w:t>Comments</w:t>
            </w:r>
          </w:p>
        </w:tc>
        <w:tc>
          <w:tcPr>
            <w:tcW w:w="500" w:type="pct"/>
          </w:tcPr>
          <w:p w:rsidR="000E5B17" w:rsidRDefault="000E5B17"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Default="00443278" w:rsidP="00F62C75">
            <w:pPr>
              <w:jc w:val="center"/>
              <w:rPr>
                <w:rFonts w:eastAsia="Calibri"/>
                <w:b/>
                <w:szCs w:val="22"/>
              </w:rPr>
            </w:pPr>
          </w:p>
          <w:p w:rsidR="00443278" w:rsidRPr="00F62C75" w:rsidRDefault="00443278" w:rsidP="00F62C75">
            <w:pPr>
              <w:jc w:val="center"/>
              <w:rPr>
                <w:rFonts w:eastAsia="Calibri"/>
                <w:b/>
                <w:szCs w:val="22"/>
              </w:rPr>
            </w:pPr>
          </w:p>
        </w:tc>
        <w:tc>
          <w:tcPr>
            <w:tcW w:w="750" w:type="pct"/>
          </w:tcPr>
          <w:p w:rsidR="000E5B17" w:rsidRDefault="000E5B17"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Default="00443278" w:rsidP="004E6648">
            <w:pPr>
              <w:rPr>
                <w:rFonts w:eastAsia="Calibri"/>
                <w:szCs w:val="22"/>
              </w:rPr>
            </w:pPr>
          </w:p>
          <w:p w:rsidR="00443278" w:rsidRPr="00924FEE" w:rsidRDefault="00443278" w:rsidP="004E6648">
            <w:pPr>
              <w:rPr>
                <w:rFonts w:eastAsia="Calibri"/>
                <w:szCs w:val="22"/>
              </w:rPr>
            </w:pPr>
          </w:p>
        </w:tc>
        <w:tc>
          <w:tcPr>
            <w:tcW w:w="700" w:type="pct"/>
          </w:tcPr>
          <w:p w:rsidR="000E5B17" w:rsidRPr="00924FEE" w:rsidRDefault="000E5B17" w:rsidP="004E6648">
            <w:pPr>
              <w:rPr>
                <w:rFonts w:eastAsia="Calibri"/>
                <w:szCs w:val="22"/>
              </w:rPr>
            </w:pPr>
          </w:p>
        </w:tc>
        <w:tc>
          <w:tcPr>
            <w:tcW w:w="762" w:type="pct"/>
          </w:tcPr>
          <w:p w:rsidR="000E5B17" w:rsidRPr="00924FEE" w:rsidRDefault="000E5B17" w:rsidP="004E6648">
            <w:pPr>
              <w:rPr>
                <w:rFonts w:eastAsia="Calibri"/>
                <w:szCs w:val="22"/>
              </w:rPr>
            </w:pPr>
          </w:p>
        </w:tc>
      </w:tr>
    </w:tbl>
    <w:p w:rsidR="005E09B2" w:rsidRPr="00924FEE" w:rsidRDefault="005E09B2" w:rsidP="005E09B2">
      <w:pPr>
        <w:rPr>
          <w:rFonts w:eastAsia="Calibri"/>
          <w:szCs w:val="22"/>
        </w:rPr>
      </w:pPr>
    </w:p>
    <w:p w:rsidR="00443278" w:rsidRPr="00443278" w:rsidRDefault="00443278" w:rsidP="005E09B2">
      <w:pPr>
        <w:rPr>
          <w:rFonts w:eastAsia="Calibri"/>
          <w:b/>
          <w:sz w:val="28"/>
          <w:szCs w:val="28"/>
        </w:rPr>
      </w:pPr>
      <w:r w:rsidRPr="00443278">
        <w:rPr>
          <w:rFonts w:eastAsia="Calibri"/>
          <w:b/>
          <w:sz w:val="28"/>
          <w:szCs w:val="28"/>
        </w:rPr>
        <w:lastRenderedPageBreak/>
        <w:t>Marking criteria</w:t>
      </w:r>
    </w:p>
    <w:p w:rsidR="00443278" w:rsidRDefault="00443278" w:rsidP="005E09B2">
      <w:pPr>
        <w:rPr>
          <w:rFonts w:eastAsia="Calibri"/>
          <w:b/>
          <w:szCs w:val="22"/>
        </w:rPr>
      </w:pPr>
    </w:p>
    <w:p w:rsidR="00F62C75" w:rsidRDefault="00F62C75" w:rsidP="005E09B2">
      <w:pPr>
        <w:rPr>
          <w:rFonts w:eastAsia="Calibri"/>
          <w:b/>
          <w:szCs w:val="22"/>
        </w:rPr>
      </w:pPr>
      <w:r w:rsidRPr="00F62C75">
        <w:rPr>
          <w:rFonts w:eastAsia="Calibri"/>
          <w:b/>
          <w:szCs w:val="22"/>
        </w:rPr>
        <w:t>Grade A</w:t>
      </w:r>
      <w:r>
        <w:rPr>
          <w:rFonts w:eastAsia="Calibri"/>
          <w:b/>
          <w:szCs w:val="22"/>
        </w:rPr>
        <w:t>:</w:t>
      </w:r>
      <w:r w:rsidRPr="00F62C75">
        <w:rPr>
          <w:rFonts w:eastAsia="Calibri"/>
          <w:b/>
          <w:szCs w:val="22"/>
        </w:rPr>
        <w:t xml:space="preserve"> 17 or more, Grade B</w:t>
      </w:r>
      <w:r>
        <w:rPr>
          <w:rFonts w:eastAsia="Calibri"/>
          <w:b/>
          <w:szCs w:val="22"/>
        </w:rPr>
        <w:t>:</w:t>
      </w:r>
      <w:r w:rsidRPr="00F62C75">
        <w:rPr>
          <w:rFonts w:eastAsia="Calibri"/>
          <w:b/>
          <w:szCs w:val="22"/>
        </w:rPr>
        <w:t xml:space="preserve"> 15 to 16, Grade C</w:t>
      </w:r>
      <w:r>
        <w:rPr>
          <w:rFonts w:eastAsia="Calibri"/>
          <w:b/>
          <w:szCs w:val="22"/>
        </w:rPr>
        <w:t>:</w:t>
      </w:r>
      <w:r w:rsidRPr="00F62C75">
        <w:rPr>
          <w:rFonts w:eastAsia="Calibri"/>
          <w:b/>
          <w:szCs w:val="22"/>
        </w:rPr>
        <w:t xml:space="preserve"> 12 to </w:t>
      </w:r>
      <w:proofErr w:type="gramStart"/>
      <w:r w:rsidRPr="00F62C75">
        <w:rPr>
          <w:rFonts w:eastAsia="Calibri"/>
          <w:b/>
          <w:szCs w:val="22"/>
        </w:rPr>
        <w:t>14,</w:t>
      </w:r>
      <w:proofErr w:type="gramEnd"/>
      <w:r w:rsidRPr="00F62C75">
        <w:rPr>
          <w:rFonts w:eastAsia="Calibri"/>
          <w:b/>
          <w:szCs w:val="22"/>
        </w:rPr>
        <w:t xml:space="preserve"> Not achieved less than 12. </w:t>
      </w:r>
    </w:p>
    <w:p w:rsidR="00443278" w:rsidRPr="00F62C75" w:rsidRDefault="00443278" w:rsidP="005E09B2">
      <w:pPr>
        <w:rPr>
          <w:rFonts w:eastAsia="Calibri"/>
          <w:b/>
          <w:szCs w:val="22"/>
        </w:rPr>
      </w:pPr>
    </w:p>
    <w:p w:rsidR="005E09B2" w:rsidRPr="00924FEE" w:rsidRDefault="005E09B2" w:rsidP="005E09B2">
      <w:pPr>
        <w:rPr>
          <w:rFonts w:eastAsia="Calibri"/>
          <w:szCs w:val="22"/>
        </w:rPr>
      </w:pPr>
      <w:r w:rsidRPr="00924FEE">
        <w:rPr>
          <w:rFonts w:eastAsia="Calibri"/>
          <w:szCs w:val="22"/>
        </w:rPr>
        <w:t>*Learners must secure at least the minimum mark for each of the minimum evidence requirements.</w:t>
      </w:r>
    </w:p>
    <w:p w:rsidR="005E09B2" w:rsidRPr="00924FEE" w:rsidRDefault="005E09B2" w:rsidP="005E09B2">
      <w:pPr>
        <w:rPr>
          <w:rFonts w:eastAsia="Calibri"/>
          <w:szCs w:val="22"/>
        </w:rPr>
      </w:pPr>
      <w:r w:rsidRPr="00924FEE">
        <w:rPr>
          <w:rFonts w:eastAsia="Calibri"/>
          <w:szCs w:val="22"/>
        </w:rPr>
        <w:t>**Up to the maximum of 12 additional marks may be awarded on the basis of the following criteria:</w:t>
      </w:r>
    </w:p>
    <w:p w:rsidR="005E09B2" w:rsidRPr="00924FEE" w:rsidRDefault="005E09B2" w:rsidP="005E09B2">
      <w:pPr>
        <w:rPr>
          <w:rFonts w:eastAsia="Calibri"/>
          <w:szCs w:val="22"/>
        </w:rPr>
      </w:pP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the evaluation demonstrates clear and explicit links between the three stages of the investigation</w:t>
      </w:r>
      <w:r w:rsidR="00443278">
        <w:rPr>
          <w:rFonts w:eastAsia="Calibri"/>
          <w:szCs w:val="22"/>
        </w:rPr>
        <w:t>.</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it is highly focused on the objectives of the investigation</w:t>
      </w:r>
      <w:r w:rsidR="00443278">
        <w:rPr>
          <w:rFonts w:eastAsia="Calibri"/>
          <w:szCs w:val="22"/>
        </w:rPr>
        <w:t>.</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it makes accurate and apposite reference to relevant concepts studied in the HND Business</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strength and validity of the points made to justify statements</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the justification of points is logical, credible and well thought out</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reflection is considered and careful and relates explicitly to the learner’s experience during the investigation</w:t>
      </w:r>
    </w:p>
    <w:p w:rsidR="00443278" w:rsidRPr="00443278" w:rsidRDefault="005E09B2" w:rsidP="00443278">
      <w:pPr>
        <w:pStyle w:val="ListParagraph"/>
        <w:numPr>
          <w:ilvl w:val="0"/>
          <w:numId w:val="2"/>
        </w:numPr>
        <w:tabs>
          <w:tab w:val="left" w:pos="425"/>
        </w:tabs>
        <w:spacing w:line="360" w:lineRule="auto"/>
        <w:ind w:left="426" w:hanging="426"/>
        <w:rPr>
          <w:rFonts w:eastAsia="Calibri"/>
          <w:szCs w:val="22"/>
        </w:rPr>
      </w:pPr>
      <w:r w:rsidRPr="005651EB">
        <w:rPr>
          <w:rFonts w:eastAsia="Calibri"/>
          <w:szCs w:val="22"/>
        </w:rPr>
        <w:t>How well the recommendations follow from the learner’s reflection and how well the report explicitly draws a connection between reflection and recommendation</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recommendations are realistic</w:t>
      </w:r>
    </w:p>
    <w:p w:rsidR="00443278" w:rsidRPr="00443278" w:rsidRDefault="005E09B2" w:rsidP="00443278">
      <w:pPr>
        <w:pStyle w:val="ListParagraph"/>
        <w:numPr>
          <w:ilvl w:val="0"/>
          <w:numId w:val="2"/>
        </w:numPr>
        <w:tabs>
          <w:tab w:val="left" w:pos="425"/>
        </w:tabs>
        <w:spacing w:line="360" w:lineRule="auto"/>
        <w:ind w:hanging="780"/>
        <w:rPr>
          <w:rFonts w:eastAsia="Calibri"/>
          <w:szCs w:val="22"/>
        </w:rPr>
      </w:pPr>
      <w:r w:rsidRPr="005651EB">
        <w:rPr>
          <w:rFonts w:eastAsia="Calibri"/>
          <w:szCs w:val="22"/>
        </w:rPr>
        <w:t>The extent to which the evaluation as a whole is logical and directly related to the investigation carried out by the learner</w:t>
      </w:r>
    </w:p>
    <w:p w:rsidR="005E09B2" w:rsidRPr="005651EB" w:rsidRDefault="005E09B2" w:rsidP="00443278">
      <w:pPr>
        <w:pStyle w:val="ListParagraph"/>
        <w:numPr>
          <w:ilvl w:val="0"/>
          <w:numId w:val="2"/>
        </w:numPr>
        <w:tabs>
          <w:tab w:val="left" w:pos="425"/>
        </w:tabs>
        <w:spacing w:line="360" w:lineRule="auto"/>
        <w:ind w:left="426" w:hanging="426"/>
        <w:rPr>
          <w:rFonts w:eastAsia="Calibri"/>
          <w:szCs w:val="22"/>
        </w:rPr>
      </w:pPr>
      <w:r w:rsidRPr="005651EB">
        <w:rPr>
          <w:rFonts w:eastAsia="Calibri"/>
          <w:szCs w:val="22"/>
        </w:rPr>
        <w:t>The extent to which the assessment of new skills and knowledge gained during the process of the investigation is reflective and evaluative</w:t>
      </w:r>
    </w:p>
    <w:p w:rsidR="005E09B2" w:rsidRPr="00924FEE" w:rsidRDefault="005E09B2" w:rsidP="005E09B2">
      <w:pPr>
        <w:rPr>
          <w:rFonts w:eastAsia="Calibri"/>
          <w:szCs w:val="22"/>
        </w:rPr>
      </w:pPr>
    </w:p>
    <w:p w:rsidR="005E09B2" w:rsidRPr="00924FEE" w:rsidRDefault="005E09B2" w:rsidP="005E09B2">
      <w:pPr>
        <w:rPr>
          <w:rFonts w:eastAsia="Calibri"/>
          <w:szCs w:val="22"/>
        </w:rPr>
      </w:pPr>
    </w:p>
    <w:p w:rsidR="005E09B2" w:rsidRPr="00924FEE" w:rsidRDefault="005E09B2" w:rsidP="005E09B2">
      <w:pPr>
        <w:rPr>
          <w:rFonts w:eastAsia="Calibri"/>
          <w:szCs w:val="22"/>
        </w:rPr>
      </w:pPr>
    </w:p>
    <w:p w:rsidR="005E09B2" w:rsidRPr="00924FEE" w:rsidRDefault="005E09B2" w:rsidP="005E09B2">
      <w:pPr>
        <w:rPr>
          <w:rFonts w:eastAsia="Calibri"/>
          <w:szCs w:val="22"/>
        </w:rPr>
      </w:pPr>
    </w:p>
    <w:sectPr w:rsidR="005E09B2" w:rsidRPr="00924FEE" w:rsidSect="000E5B1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17" w:rsidRDefault="000E5B17" w:rsidP="000E5B17">
      <w:r>
        <w:separator/>
      </w:r>
    </w:p>
  </w:endnote>
  <w:endnote w:type="continuationSeparator" w:id="0">
    <w:p w:rsidR="000E5B17" w:rsidRDefault="000E5B17" w:rsidP="000E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67" w:rsidRDefault="00DB0E67">
    <w:pPr>
      <w:pStyle w:val="Footer"/>
    </w:pPr>
    <w:r>
      <w:t>Thursday 25</w:t>
    </w:r>
    <w:r w:rsidRPr="00DB0E67">
      <w:rPr>
        <w:vertAlign w:val="superscript"/>
      </w:rPr>
      <w:t>th</w:t>
    </w:r>
    <w:r>
      <w:t xml:space="preserve"> – Marking and Standardisation: Business Graded Unit 2</w:t>
    </w:r>
  </w:p>
  <w:p w:rsidR="000E5B17" w:rsidRDefault="000E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17" w:rsidRDefault="000E5B17" w:rsidP="000E5B17">
      <w:r>
        <w:separator/>
      </w:r>
    </w:p>
  </w:footnote>
  <w:footnote w:type="continuationSeparator" w:id="0">
    <w:p w:rsidR="000E5B17" w:rsidRDefault="000E5B17" w:rsidP="000E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17" w:rsidRDefault="000E5B17" w:rsidP="000E5B17">
    <w:pPr>
      <w:pStyle w:val="Header"/>
      <w:jc w:val="right"/>
    </w:pPr>
    <w:r>
      <w:rPr>
        <w:noProof/>
        <w:lang w:eastAsia="en-GB"/>
      </w:rPr>
      <w:drawing>
        <wp:inline distT="0" distB="0" distL="0" distR="0" wp14:anchorId="743D01F3" wp14:editId="6380D03F">
          <wp:extent cx="150558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8108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4EC1"/>
    <w:multiLevelType w:val="hybridMultilevel"/>
    <w:tmpl w:val="67685956"/>
    <w:lvl w:ilvl="0" w:tplc="0809000F">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2C3C9C"/>
    <w:multiLevelType w:val="hybridMultilevel"/>
    <w:tmpl w:val="C5A8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2"/>
    <w:rsid w:val="00042944"/>
    <w:rsid w:val="000D3CB3"/>
    <w:rsid w:val="000E5B17"/>
    <w:rsid w:val="00443278"/>
    <w:rsid w:val="00490378"/>
    <w:rsid w:val="005651EB"/>
    <w:rsid w:val="005E09B2"/>
    <w:rsid w:val="008866C8"/>
    <w:rsid w:val="008D5EBA"/>
    <w:rsid w:val="00DB0E67"/>
    <w:rsid w:val="00F62C75"/>
    <w:rsid w:val="00FD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B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17"/>
    <w:pPr>
      <w:tabs>
        <w:tab w:val="center" w:pos="4513"/>
        <w:tab w:val="right" w:pos="9026"/>
      </w:tabs>
    </w:pPr>
  </w:style>
  <w:style w:type="character" w:customStyle="1" w:styleId="HeaderChar">
    <w:name w:val="Header Char"/>
    <w:basedOn w:val="DefaultParagraphFont"/>
    <w:link w:val="Header"/>
    <w:uiPriority w:val="99"/>
    <w:rsid w:val="000E5B17"/>
    <w:rPr>
      <w:rFonts w:ascii="Arial" w:eastAsia="Times New Roman" w:hAnsi="Arial" w:cs="Times New Roman"/>
      <w:sz w:val="24"/>
      <w:szCs w:val="24"/>
    </w:rPr>
  </w:style>
  <w:style w:type="paragraph" w:styleId="Footer">
    <w:name w:val="footer"/>
    <w:basedOn w:val="Normal"/>
    <w:link w:val="FooterChar"/>
    <w:uiPriority w:val="99"/>
    <w:unhideWhenUsed/>
    <w:rsid w:val="000E5B17"/>
    <w:pPr>
      <w:tabs>
        <w:tab w:val="center" w:pos="4513"/>
        <w:tab w:val="right" w:pos="9026"/>
      </w:tabs>
    </w:pPr>
  </w:style>
  <w:style w:type="character" w:customStyle="1" w:styleId="FooterChar">
    <w:name w:val="Footer Char"/>
    <w:basedOn w:val="DefaultParagraphFont"/>
    <w:link w:val="Footer"/>
    <w:uiPriority w:val="99"/>
    <w:rsid w:val="000E5B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E5B17"/>
    <w:rPr>
      <w:rFonts w:ascii="Tahoma" w:hAnsi="Tahoma" w:cs="Tahoma"/>
      <w:sz w:val="16"/>
      <w:szCs w:val="16"/>
    </w:rPr>
  </w:style>
  <w:style w:type="character" w:customStyle="1" w:styleId="BalloonTextChar">
    <w:name w:val="Balloon Text Char"/>
    <w:basedOn w:val="DefaultParagraphFont"/>
    <w:link w:val="BalloonText"/>
    <w:uiPriority w:val="99"/>
    <w:semiHidden/>
    <w:rsid w:val="000E5B17"/>
    <w:rPr>
      <w:rFonts w:ascii="Tahoma" w:eastAsia="Times New Roman" w:hAnsi="Tahoma" w:cs="Tahoma"/>
      <w:sz w:val="16"/>
      <w:szCs w:val="16"/>
    </w:rPr>
  </w:style>
  <w:style w:type="paragraph" w:styleId="ListParagraph">
    <w:name w:val="List Paragraph"/>
    <w:basedOn w:val="Normal"/>
    <w:uiPriority w:val="34"/>
    <w:qFormat/>
    <w:rsid w:val="00565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B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17"/>
    <w:pPr>
      <w:tabs>
        <w:tab w:val="center" w:pos="4513"/>
        <w:tab w:val="right" w:pos="9026"/>
      </w:tabs>
    </w:pPr>
  </w:style>
  <w:style w:type="character" w:customStyle="1" w:styleId="HeaderChar">
    <w:name w:val="Header Char"/>
    <w:basedOn w:val="DefaultParagraphFont"/>
    <w:link w:val="Header"/>
    <w:uiPriority w:val="99"/>
    <w:rsid w:val="000E5B17"/>
    <w:rPr>
      <w:rFonts w:ascii="Arial" w:eastAsia="Times New Roman" w:hAnsi="Arial" w:cs="Times New Roman"/>
      <w:sz w:val="24"/>
      <w:szCs w:val="24"/>
    </w:rPr>
  </w:style>
  <w:style w:type="paragraph" w:styleId="Footer">
    <w:name w:val="footer"/>
    <w:basedOn w:val="Normal"/>
    <w:link w:val="FooterChar"/>
    <w:uiPriority w:val="99"/>
    <w:unhideWhenUsed/>
    <w:rsid w:val="000E5B17"/>
    <w:pPr>
      <w:tabs>
        <w:tab w:val="center" w:pos="4513"/>
        <w:tab w:val="right" w:pos="9026"/>
      </w:tabs>
    </w:pPr>
  </w:style>
  <w:style w:type="character" w:customStyle="1" w:styleId="FooterChar">
    <w:name w:val="Footer Char"/>
    <w:basedOn w:val="DefaultParagraphFont"/>
    <w:link w:val="Footer"/>
    <w:uiPriority w:val="99"/>
    <w:rsid w:val="000E5B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E5B17"/>
    <w:rPr>
      <w:rFonts w:ascii="Tahoma" w:hAnsi="Tahoma" w:cs="Tahoma"/>
      <w:sz w:val="16"/>
      <w:szCs w:val="16"/>
    </w:rPr>
  </w:style>
  <w:style w:type="character" w:customStyle="1" w:styleId="BalloonTextChar">
    <w:name w:val="Balloon Text Char"/>
    <w:basedOn w:val="DefaultParagraphFont"/>
    <w:link w:val="BalloonText"/>
    <w:uiPriority w:val="99"/>
    <w:semiHidden/>
    <w:rsid w:val="000E5B17"/>
    <w:rPr>
      <w:rFonts w:ascii="Tahoma" w:eastAsia="Times New Roman" w:hAnsi="Tahoma" w:cs="Tahoma"/>
      <w:sz w:val="16"/>
      <w:szCs w:val="16"/>
    </w:rPr>
  </w:style>
  <w:style w:type="paragraph" w:styleId="ListParagraph">
    <w:name w:val="List Paragraph"/>
    <w:basedOn w:val="Normal"/>
    <w:uiPriority w:val="34"/>
    <w:qFormat/>
    <w:rsid w:val="00565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Walker</dc:creator>
  <cp:lastModifiedBy>Sharon McDowall</cp:lastModifiedBy>
  <cp:revision>2</cp:revision>
  <cp:lastPrinted>2016-06-09T08:01:00Z</cp:lastPrinted>
  <dcterms:created xsi:type="dcterms:W3CDTF">2016-06-22T12:22:00Z</dcterms:created>
  <dcterms:modified xsi:type="dcterms:W3CDTF">2016-06-22T12:22:00Z</dcterms:modified>
</cp:coreProperties>
</file>