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73" w:rsidRPr="0007624D" w:rsidRDefault="00316373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</w:pPr>
      <w:r w:rsidRPr="000762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>Using the Qualification Verification Summary Report To Improve Quality</w:t>
      </w:r>
    </w:p>
    <w:p w:rsidR="00316373" w:rsidRPr="00316373" w:rsidRDefault="00316373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316373" w:rsidRPr="00316373" w:rsidRDefault="00316373" w:rsidP="0031637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316373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Exercise 1</w:t>
      </w:r>
    </w:p>
    <w:p w:rsidR="00316373" w:rsidRPr="00B33458" w:rsidRDefault="00316373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3345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At your table work together to define what is meant by the term good practice.  Write down an agreed collective response and prepare to feedback your definition.</w:t>
      </w: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33458" w:rsidRDefault="00B33458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16373" w:rsidRPr="00316373" w:rsidRDefault="00316373" w:rsidP="00316373">
      <w:pPr>
        <w:pStyle w:val="NormalWeb"/>
        <w:spacing w:before="0" w:beforeAutospacing="0" w:after="0" w:afterAutospacing="0"/>
      </w:pPr>
    </w:p>
    <w:p w:rsidR="00C911A3" w:rsidRDefault="00C911A3" w:rsidP="00316373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C911A3" w:rsidRDefault="00C911A3" w:rsidP="00316373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C911A3" w:rsidRDefault="00C911A3" w:rsidP="00316373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C911A3" w:rsidRDefault="00C911A3" w:rsidP="00316373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C911A3" w:rsidRDefault="00C911A3" w:rsidP="00316373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C911A3" w:rsidRDefault="00C911A3" w:rsidP="00316373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C911A3" w:rsidRDefault="00C911A3" w:rsidP="00316373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C911A3" w:rsidRDefault="00C911A3" w:rsidP="00316373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  <w:sectPr w:rsidR="00C911A3" w:rsidSect="00A12A94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16373" w:rsidRPr="00316373" w:rsidRDefault="00316373" w:rsidP="00316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316373"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  <w:lastRenderedPageBreak/>
        <w:t>Exercise 2</w:t>
      </w:r>
    </w:p>
    <w:p w:rsidR="00316373" w:rsidRPr="009E2085" w:rsidRDefault="00316373" w:rsidP="003163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31637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Working with the others at your table use the list of verification criteria and complete the exercise.</w:t>
      </w:r>
    </w:p>
    <w:p w:rsidR="00B33458" w:rsidRPr="00316373" w:rsidRDefault="00B33458" w:rsidP="0031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6373" w:rsidRPr="00316373" w:rsidRDefault="00316373" w:rsidP="00316373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37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Against each criterion, list three pieces of evidence you could provide for external verification</w:t>
      </w:r>
    </w:p>
    <w:p w:rsidR="00316373" w:rsidRPr="00316373" w:rsidRDefault="00316373" w:rsidP="00316373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37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Identify one (or more) examples of good practice against each criterion</w:t>
      </w:r>
    </w:p>
    <w:p w:rsidR="00316373" w:rsidRPr="00316373" w:rsidRDefault="006414CF" w:rsidP="00316373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At the end, explain how </w:t>
      </w:r>
      <w:r w:rsidR="00316373" w:rsidRPr="0031637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your centre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could</w:t>
      </w:r>
      <w:r w:rsidR="00316373" w:rsidRPr="0031637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integrate QVS Reports into </w:t>
      </w:r>
      <w:r w:rsidR="008E50C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your </w:t>
      </w:r>
      <w:r w:rsidR="00316373" w:rsidRPr="0031637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internal verification</w:t>
      </w:r>
      <w:r w:rsidR="008E50C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process</w:t>
      </w:r>
      <w:r w:rsidR="00316373" w:rsidRPr="0031637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?</w:t>
      </w:r>
    </w:p>
    <w:p w:rsidR="00316373" w:rsidRPr="00316373" w:rsidRDefault="00316373" w:rsidP="0031637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3969"/>
        <w:gridCol w:w="3888"/>
      </w:tblGrid>
      <w:tr w:rsidR="00B33458" w:rsidTr="001E3FBE">
        <w:tc>
          <w:tcPr>
            <w:tcW w:w="6091" w:type="dxa"/>
            <w:gridSpan w:val="2"/>
          </w:tcPr>
          <w:p w:rsidR="00C911A3" w:rsidRPr="00C911A3" w:rsidRDefault="009E2085" w:rsidP="00C911A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</w:t>
            </w:r>
            <w:r w:rsidR="00C911A3">
              <w:rPr>
                <w:b/>
                <w:bCs/>
                <w:sz w:val="28"/>
                <w:szCs w:val="28"/>
              </w:rPr>
              <w:t xml:space="preserve">tegory 2: Resource management - </w:t>
            </w:r>
            <w:r w:rsidR="00C911A3" w:rsidRPr="00C911A3">
              <w:rPr>
                <w:b/>
                <w:bCs/>
              </w:rPr>
              <w:t xml:space="preserve">The centre procedures for managing resources must be documented, implemented and monitored to meet SQA requirements. </w:t>
            </w:r>
          </w:p>
          <w:p w:rsidR="00C911A3" w:rsidRDefault="00C911A3" w:rsidP="00B334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33458" w:rsidRPr="009E2085" w:rsidRDefault="009E2085" w:rsidP="00B33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085">
              <w:rPr>
                <w:rFonts w:ascii="Arial" w:hAnsi="Arial" w:cs="Arial"/>
                <w:b/>
                <w:sz w:val="24"/>
                <w:szCs w:val="24"/>
              </w:rPr>
              <w:t>Three pieces of evidence</w:t>
            </w:r>
          </w:p>
        </w:tc>
        <w:tc>
          <w:tcPr>
            <w:tcW w:w="3888" w:type="dxa"/>
          </w:tcPr>
          <w:p w:rsidR="00B33458" w:rsidRPr="009E2085" w:rsidRDefault="001E3FBE" w:rsidP="009E2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 p</w:t>
            </w:r>
            <w:r w:rsidR="009E2085" w:rsidRPr="009E2085">
              <w:rPr>
                <w:rFonts w:ascii="Arial" w:hAnsi="Arial" w:cs="Arial"/>
                <w:b/>
                <w:sz w:val="24"/>
                <w:szCs w:val="24"/>
              </w:rPr>
              <w:t>ractice</w:t>
            </w:r>
          </w:p>
        </w:tc>
      </w:tr>
      <w:tr w:rsidR="00B33458" w:rsidTr="001E3FBE">
        <w:tc>
          <w:tcPr>
            <w:tcW w:w="1555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Criterion 2.1 </w:t>
            </w:r>
          </w:p>
        </w:tc>
        <w:tc>
          <w:tcPr>
            <w:tcW w:w="4536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Assessors and internal verifiers must be competent to assess and internally verify, in line with the requirements of the qualification. </w:t>
            </w: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33458" w:rsidRDefault="00B33458" w:rsidP="00B33458"/>
        </w:tc>
        <w:tc>
          <w:tcPr>
            <w:tcW w:w="3888" w:type="dxa"/>
          </w:tcPr>
          <w:p w:rsidR="00B33458" w:rsidRDefault="00B33458" w:rsidP="00B33458"/>
        </w:tc>
      </w:tr>
      <w:tr w:rsidR="00B33458" w:rsidTr="001E3FBE">
        <w:tc>
          <w:tcPr>
            <w:tcW w:w="1555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Criterion 2.4 </w:t>
            </w:r>
          </w:p>
        </w:tc>
        <w:tc>
          <w:tcPr>
            <w:tcW w:w="4536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must be evidence of initial and ongoing reviews of assessment environments; equipment; and reference, learning and assessment materials. </w:t>
            </w: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33458" w:rsidRDefault="00B33458" w:rsidP="00B33458"/>
        </w:tc>
        <w:tc>
          <w:tcPr>
            <w:tcW w:w="3888" w:type="dxa"/>
          </w:tcPr>
          <w:p w:rsidR="00B33458" w:rsidRDefault="00B33458" w:rsidP="00B33458"/>
        </w:tc>
      </w:tr>
      <w:tr w:rsidR="001E3FBE" w:rsidTr="001E3FBE">
        <w:trPr>
          <w:trHeight w:val="385"/>
        </w:trPr>
        <w:tc>
          <w:tcPr>
            <w:tcW w:w="609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5"/>
            </w:tblGrid>
            <w:tr w:rsidR="001E3FBE" w:rsidRPr="00B33458">
              <w:trPr>
                <w:trHeight w:val="131"/>
              </w:trPr>
              <w:tc>
                <w:tcPr>
                  <w:tcW w:w="0" w:type="auto"/>
                </w:tcPr>
                <w:p w:rsidR="001E3FBE" w:rsidRPr="00C911A3" w:rsidRDefault="001E3FBE" w:rsidP="001E3F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3345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Category 3: Candidate support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- </w:t>
                  </w:r>
                  <w:r w:rsidRPr="00C911A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Candidates are supported and guided through the qualifications for which they are entered.</w:t>
                  </w:r>
                  <w:r w:rsidRPr="00B334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1E3FBE" w:rsidRPr="00C911A3">
                    <w:trPr>
                      <w:trHeight w:val="394"/>
                    </w:trPr>
                    <w:tc>
                      <w:tcPr>
                        <w:tcW w:w="0" w:type="auto"/>
                      </w:tcPr>
                      <w:p w:rsidR="001E3FBE" w:rsidRPr="00C911A3" w:rsidRDefault="001E3FBE" w:rsidP="001E3FB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1E3FBE" w:rsidRPr="00B33458" w:rsidRDefault="001E3FBE" w:rsidP="001E3F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E3FBE" w:rsidRDefault="001E3FBE" w:rsidP="001E3FBE"/>
        </w:tc>
        <w:tc>
          <w:tcPr>
            <w:tcW w:w="3969" w:type="dxa"/>
          </w:tcPr>
          <w:p w:rsidR="001E3FBE" w:rsidRPr="009E2085" w:rsidRDefault="001E3FBE" w:rsidP="001E3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085">
              <w:rPr>
                <w:rFonts w:ascii="Arial" w:hAnsi="Arial" w:cs="Arial"/>
                <w:b/>
                <w:sz w:val="24"/>
                <w:szCs w:val="24"/>
              </w:rPr>
              <w:t>Three pieces of evidence</w:t>
            </w:r>
          </w:p>
        </w:tc>
        <w:tc>
          <w:tcPr>
            <w:tcW w:w="3888" w:type="dxa"/>
          </w:tcPr>
          <w:p w:rsidR="001E3FBE" w:rsidRPr="009E2085" w:rsidRDefault="001E3FBE" w:rsidP="001E3F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 p</w:t>
            </w:r>
            <w:r w:rsidRPr="009E2085">
              <w:rPr>
                <w:rFonts w:ascii="Arial" w:hAnsi="Arial" w:cs="Arial"/>
                <w:b/>
                <w:sz w:val="24"/>
                <w:szCs w:val="24"/>
              </w:rPr>
              <w:t>ractice</w:t>
            </w:r>
          </w:p>
        </w:tc>
      </w:tr>
      <w:tr w:rsidR="00C911A3" w:rsidTr="001E3FBE">
        <w:tc>
          <w:tcPr>
            <w:tcW w:w="1555" w:type="dxa"/>
          </w:tcPr>
          <w:p w:rsidR="00C911A3" w:rsidRPr="00B33458" w:rsidRDefault="00C911A3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3458">
              <w:rPr>
                <w:rFonts w:ascii="Arial" w:hAnsi="Arial" w:cs="Arial"/>
                <w:b/>
                <w:bCs/>
                <w:color w:val="000000"/>
              </w:rPr>
              <w:t xml:space="preserve">Criterion 3.2 </w:t>
            </w:r>
          </w:p>
        </w:tc>
        <w:tc>
          <w:tcPr>
            <w:tcW w:w="4536" w:type="dxa"/>
          </w:tcPr>
          <w:p w:rsidR="00C911A3" w:rsidRDefault="00C911A3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3458">
              <w:rPr>
                <w:rFonts w:ascii="Arial" w:hAnsi="Arial" w:cs="Arial"/>
                <w:color w:val="000000"/>
              </w:rPr>
              <w:t>Candidates’ development needs and prior achievements (where appropriate) must be matched against the requirements of the award.</w:t>
            </w:r>
          </w:p>
          <w:p w:rsidR="00C911A3" w:rsidRDefault="00C911A3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911A3" w:rsidRDefault="00C911A3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E3FBE" w:rsidRDefault="001E3FBE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E3FBE" w:rsidRDefault="001E3FBE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911A3" w:rsidRDefault="00C911A3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E3FBE" w:rsidRDefault="001E3FBE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E3FBE" w:rsidRDefault="001E3FBE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E3FBE" w:rsidRDefault="001E3FBE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E3FBE" w:rsidRDefault="001E3FBE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911A3" w:rsidRPr="00B33458" w:rsidRDefault="00C911A3" w:rsidP="00C91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345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C911A3" w:rsidRDefault="00C911A3" w:rsidP="00C911A3"/>
        </w:tc>
        <w:tc>
          <w:tcPr>
            <w:tcW w:w="3888" w:type="dxa"/>
          </w:tcPr>
          <w:p w:rsidR="00C911A3" w:rsidRDefault="00C911A3" w:rsidP="00C911A3"/>
        </w:tc>
      </w:tr>
      <w:tr w:rsidR="00B33458" w:rsidTr="001E3FBE">
        <w:tc>
          <w:tcPr>
            <w:tcW w:w="1555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Criterion 3.3 </w:t>
            </w:r>
          </w:p>
        </w:tc>
        <w:tc>
          <w:tcPr>
            <w:tcW w:w="4536" w:type="dxa"/>
          </w:tcPr>
          <w:p w:rsidR="00C911A3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must have scheduled contact with their assessor to review their progress and to revise their assessment plans accordingly.</w:t>
            </w: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B33458" w:rsidRDefault="00B33458" w:rsidP="00B33458"/>
        </w:tc>
        <w:tc>
          <w:tcPr>
            <w:tcW w:w="3888" w:type="dxa"/>
          </w:tcPr>
          <w:p w:rsidR="00B33458" w:rsidRDefault="00B33458" w:rsidP="00B33458"/>
        </w:tc>
      </w:tr>
      <w:tr w:rsidR="001E3FBE" w:rsidTr="001E3FBE">
        <w:trPr>
          <w:trHeight w:val="1047"/>
        </w:trPr>
        <w:tc>
          <w:tcPr>
            <w:tcW w:w="609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5"/>
            </w:tblGrid>
            <w:tr w:rsidR="001E3FBE" w:rsidRPr="00C911A3">
              <w:trPr>
                <w:trHeight w:val="532"/>
              </w:trPr>
              <w:tc>
                <w:tcPr>
                  <w:tcW w:w="0" w:type="auto"/>
                </w:tcPr>
                <w:p w:rsidR="001E3FBE" w:rsidRPr="00C911A3" w:rsidRDefault="001E3FBE" w:rsidP="001E3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Category 4: Internal assessment and verification – </w:t>
                  </w:r>
                  <w:r w:rsidRPr="00C911A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 centre’s internal assessment and verification procedures must be documented, implemented and monitored to meet qualification and SQA requirements.</w:t>
                  </w:r>
                </w:p>
              </w:tc>
            </w:tr>
          </w:tbl>
          <w:p w:rsidR="001E3FBE" w:rsidRDefault="001E3FBE" w:rsidP="001E3F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3FBE" w:rsidRPr="009E2085" w:rsidRDefault="001E3FBE" w:rsidP="001E3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085">
              <w:rPr>
                <w:rFonts w:ascii="Arial" w:hAnsi="Arial" w:cs="Arial"/>
                <w:b/>
                <w:sz w:val="24"/>
                <w:szCs w:val="24"/>
              </w:rPr>
              <w:t>Three pieces of evidence</w:t>
            </w:r>
          </w:p>
        </w:tc>
        <w:tc>
          <w:tcPr>
            <w:tcW w:w="3888" w:type="dxa"/>
          </w:tcPr>
          <w:p w:rsidR="001E3FBE" w:rsidRPr="009E2085" w:rsidRDefault="001E3FBE" w:rsidP="001E3F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 p</w:t>
            </w:r>
            <w:r w:rsidRPr="009E2085">
              <w:rPr>
                <w:rFonts w:ascii="Arial" w:hAnsi="Arial" w:cs="Arial"/>
                <w:b/>
                <w:sz w:val="24"/>
                <w:szCs w:val="24"/>
              </w:rPr>
              <w:t>ractice</w:t>
            </w:r>
          </w:p>
        </w:tc>
      </w:tr>
      <w:tr w:rsidR="00B33458" w:rsidTr="001E3FBE">
        <w:tc>
          <w:tcPr>
            <w:tcW w:w="1555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Criterion 4.2 </w:t>
            </w:r>
          </w:p>
        </w:tc>
        <w:tc>
          <w:tcPr>
            <w:tcW w:w="4536" w:type="dxa"/>
          </w:tcPr>
          <w:p w:rsidR="00C911A3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assessment and verification procedures must be implemented to ensure standardisation of assessment.</w:t>
            </w: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B33458" w:rsidRDefault="00B33458" w:rsidP="00B33458"/>
        </w:tc>
        <w:tc>
          <w:tcPr>
            <w:tcW w:w="3888" w:type="dxa"/>
          </w:tcPr>
          <w:p w:rsidR="00B33458" w:rsidRDefault="00B33458" w:rsidP="00B33458"/>
        </w:tc>
      </w:tr>
      <w:tr w:rsidR="00B33458" w:rsidTr="001E3FBE">
        <w:tc>
          <w:tcPr>
            <w:tcW w:w="1555" w:type="dxa"/>
          </w:tcPr>
          <w:p w:rsidR="00B33458" w:rsidRDefault="008E50CD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Criterion 4.3</w:t>
            </w:r>
            <w:r w:rsidR="00B334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8E50CD" w:rsidRPr="008E50CD" w:rsidRDefault="008E50CD" w:rsidP="008E50CD">
            <w:pPr>
              <w:pStyle w:val="Default"/>
              <w:rPr>
                <w:sz w:val="22"/>
                <w:szCs w:val="22"/>
              </w:rPr>
            </w:pPr>
            <w:r w:rsidRPr="008E50CD">
              <w:rPr>
                <w:bCs/>
                <w:iCs/>
                <w:sz w:val="22"/>
                <w:szCs w:val="22"/>
              </w:rPr>
              <w:t>Assessment instruments and methods and their</w:t>
            </w:r>
            <w:r>
              <w:rPr>
                <w:sz w:val="22"/>
                <w:szCs w:val="22"/>
              </w:rPr>
              <w:t xml:space="preserve"> </w:t>
            </w:r>
            <w:r w:rsidRPr="008E50CD">
              <w:rPr>
                <w:bCs/>
                <w:iCs/>
                <w:sz w:val="22"/>
                <w:szCs w:val="22"/>
              </w:rPr>
              <w:t>selection and use must be valid, reliable, practicable, equitable</w:t>
            </w:r>
            <w:r>
              <w:rPr>
                <w:sz w:val="22"/>
                <w:szCs w:val="22"/>
              </w:rPr>
              <w:t xml:space="preserve"> </w:t>
            </w:r>
            <w:r w:rsidRPr="008E50CD">
              <w:rPr>
                <w:bCs/>
                <w:iCs/>
                <w:sz w:val="22"/>
                <w:szCs w:val="22"/>
              </w:rPr>
              <w:t>and fair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:rsidR="008E50CD" w:rsidRDefault="008E50CD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8E50CD" w:rsidRDefault="008E50CD" w:rsidP="00B33458">
            <w:pPr>
              <w:pStyle w:val="Default"/>
              <w:rPr>
                <w:sz w:val="22"/>
                <w:szCs w:val="22"/>
              </w:rPr>
            </w:pPr>
          </w:p>
          <w:p w:rsidR="008E50CD" w:rsidRDefault="008E50CD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33458" w:rsidRDefault="00B33458" w:rsidP="00B33458"/>
        </w:tc>
        <w:tc>
          <w:tcPr>
            <w:tcW w:w="3888" w:type="dxa"/>
          </w:tcPr>
          <w:p w:rsidR="00B33458" w:rsidRDefault="00B33458" w:rsidP="00B33458"/>
        </w:tc>
      </w:tr>
      <w:tr w:rsidR="00B33458" w:rsidTr="001E3FBE">
        <w:tc>
          <w:tcPr>
            <w:tcW w:w="1555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Criterion 4.4 </w:t>
            </w:r>
          </w:p>
        </w:tc>
        <w:tc>
          <w:tcPr>
            <w:tcW w:w="4536" w:type="dxa"/>
          </w:tcPr>
          <w:p w:rsidR="00C911A3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evidence must be the candidate’s own work, generated under SQA’s required conditions.</w:t>
            </w: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B33458" w:rsidRDefault="00B33458" w:rsidP="00B33458"/>
        </w:tc>
        <w:tc>
          <w:tcPr>
            <w:tcW w:w="3888" w:type="dxa"/>
          </w:tcPr>
          <w:p w:rsidR="00B33458" w:rsidRDefault="00B33458" w:rsidP="00B33458"/>
        </w:tc>
      </w:tr>
      <w:tr w:rsidR="00B33458" w:rsidTr="001E3FBE">
        <w:tc>
          <w:tcPr>
            <w:tcW w:w="1555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Criterion 4.6 </w:t>
            </w:r>
          </w:p>
        </w:tc>
        <w:tc>
          <w:tcPr>
            <w:tcW w:w="4536" w:type="dxa"/>
          </w:tcPr>
          <w:p w:rsidR="00C911A3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candidates’ work must be accurately and consistently judged by assessors against SQA’s requirements.</w:t>
            </w: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B33458" w:rsidRDefault="00B33458" w:rsidP="00B33458"/>
        </w:tc>
        <w:tc>
          <w:tcPr>
            <w:tcW w:w="3888" w:type="dxa"/>
          </w:tcPr>
          <w:p w:rsidR="00B33458" w:rsidRDefault="00B33458" w:rsidP="00B33458"/>
        </w:tc>
      </w:tr>
      <w:tr w:rsidR="00B33458" w:rsidTr="001E3FBE">
        <w:tc>
          <w:tcPr>
            <w:tcW w:w="1555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Criterion 4.7 </w:t>
            </w:r>
          </w:p>
        </w:tc>
        <w:tc>
          <w:tcPr>
            <w:tcW w:w="4536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Candidate evidence must be retained in line with SQA requirements. </w:t>
            </w: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33458" w:rsidRDefault="00B33458" w:rsidP="00B33458"/>
        </w:tc>
        <w:tc>
          <w:tcPr>
            <w:tcW w:w="3888" w:type="dxa"/>
          </w:tcPr>
          <w:p w:rsidR="00B33458" w:rsidRDefault="00B33458" w:rsidP="00B33458"/>
        </w:tc>
      </w:tr>
      <w:tr w:rsidR="00B33458" w:rsidTr="001E3FBE">
        <w:tc>
          <w:tcPr>
            <w:tcW w:w="1555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Criterion 4.9 </w:t>
            </w:r>
          </w:p>
        </w:tc>
        <w:tc>
          <w:tcPr>
            <w:tcW w:w="4536" w:type="dxa"/>
          </w:tcPr>
          <w:p w:rsidR="00B33458" w:rsidRDefault="00B33458" w:rsidP="00B33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 from verifiers must be disseminated to staff and used to inform assessment practice. </w:t>
            </w: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1E3FBE" w:rsidRDefault="001E3FBE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  <w:p w:rsidR="00C911A3" w:rsidRDefault="00C911A3" w:rsidP="00B334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33458" w:rsidRDefault="00B33458" w:rsidP="00B33458"/>
        </w:tc>
        <w:tc>
          <w:tcPr>
            <w:tcW w:w="3888" w:type="dxa"/>
          </w:tcPr>
          <w:p w:rsidR="00B33458" w:rsidRDefault="00B33458" w:rsidP="00B33458"/>
        </w:tc>
      </w:tr>
      <w:tr w:rsidR="003C12FC" w:rsidTr="002D7121">
        <w:tc>
          <w:tcPr>
            <w:tcW w:w="13948" w:type="dxa"/>
            <w:gridSpan w:val="4"/>
          </w:tcPr>
          <w:p w:rsidR="00316373" w:rsidRPr="00316373" w:rsidRDefault="00316373" w:rsidP="009C2450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16373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>H</w:t>
            </w:r>
            <w:r w:rsidR="001E2F7C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>ow could your centre integrate Q</w:t>
            </w:r>
            <w:r w:rsidR="00184CA7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ualification </w:t>
            </w:r>
            <w:r w:rsidRPr="00316373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>V</w:t>
            </w:r>
            <w:r w:rsidR="00184CA7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erification </w:t>
            </w:r>
            <w:r w:rsidRPr="00316373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>S</w:t>
            </w:r>
            <w:r w:rsidR="00184CA7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>ummary</w:t>
            </w:r>
            <w:bookmarkStart w:id="0" w:name="_GoBack"/>
            <w:bookmarkEnd w:id="0"/>
            <w:r w:rsidRPr="00316373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Reports into </w:t>
            </w:r>
            <w:r w:rsidR="008E50CD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your </w:t>
            </w:r>
            <w:r w:rsidRPr="00316373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>internal verification</w:t>
            </w:r>
            <w:r w:rsidR="008E50CD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process</w:t>
            </w:r>
            <w:r w:rsidRPr="00316373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8"/>
                <w:lang w:eastAsia="en-GB"/>
              </w:rPr>
              <w:t>?</w:t>
            </w:r>
          </w:p>
          <w:p w:rsidR="003C12FC" w:rsidRPr="003C12FC" w:rsidRDefault="003C12FC" w:rsidP="00B3345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C12FC" w:rsidRPr="003C12FC" w:rsidRDefault="003C12FC" w:rsidP="00B3345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C2450" w:rsidRPr="003C12FC" w:rsidRDefault="009C2450" w:rsidP="00B3345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F4899" w:rsidRPr="003C12FC" w:rsidRDefault="008F4899" w:rsidP="00B33458">
            <w:pPr>
              <w:rPr>
                <w:sz w:val="28"/>
                <w:szCs w:val="28"/>
              </w:rPr>
            </w:pPr>
          </w:p>
        </w:tc>
      </w:tr>
    </w:tbl>
    <w:p w:rsidR="009C2450" w:rsidRDefault="009C2450" w:rsidP="009C2450"/>
    <w:sectPr w:rsidR="009C2450" w:rsidSect="00B334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A3" w:rsidRDefault="00C911A3" w:rsidP="00C911A3">
      <w:pPr>
        <w:spacing w:after="0" w:line="240" w:lineRule="auto"/>
      </w:pPr>
      <w:r>
        <w:separator/>
      </w:r>
    </w:p>
  </w:endnote>
  <w:endnote w:type="continuationSeparator" w:id="0">
    <w:p w:rsidR="00C911A3" w:rsidRDefault="00C911A3" w:rsidP="00C9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084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A94" w:rsidRDefault="00A12A9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A7">
          <w:rPr>
            <w:noProof/>
          </w:rPr>
          <w:t>5</w:t>
        </w:r>
        <w:r>
          <w:rPr>
            <w:noProof/>
          </w:rPr>
          <w:fldChar w:fldCharType="end"/>
        </w:r>
      </w:p>
      <w:p w:rsidR="00A12A94" w:rsidRDefault="001E2F7C" w:rsidP="00A12A94">
        <w:pPr>
          <w:pStyle w:val="Footer"/>
        </w:pPr>
        <w:r>
          <w:rPr>
            <w:noProof/>
          </w:rPr>
          <w:t xml:space="preserve">Iain Walker </w:t>
        </w:r>
        <w:r w:rsidR="00A12A94" w:rsidRPr="00184CA7">
          <w:rPr>
            <w:i/>
            <w:noProof/>
          </w:rPr>
          <w:t>Using</w:t>
        </w:r>
        <w:r w:rsidR="00184CA7" w:rsidRPr="00184CA7">
          <w:rPr>
            <w:i/>
            <w:noProof/>
          </w:rPr>
          <w:t xml:space="preserve"> </w:t>
        </w:r>
        <w:r w:rsidR="00A12A94" w:rsidRPr="00184CA7">
          <w:rPr>
            <w:i/>
            <w:noProof/>
          </w:rPr>
          <w:t>QVSR</w:t>
        </w:r>
        <w:r w:rsidR="009F7C0C" w:rsidRPr="00184CA7">
          <w:rPr>
            <w:i/>
            <w:noProof/>
          </w:rPr>
          <w:t>s</w:t>
        </w:r>
        <w:r w:rsidR="00184CA7" w:rsidRPr="00184CA7">
          <w:rPr>
            <w:i/>
            <w:noProof/>
          </w:rPr>
          <w:t xml:space="preserve"> </w:t>
        </w:r>
        <w:r w:rsidR="009F7C0C" w:rsidRPr="00184CA7">
          <w:rPr>
            <w:i/>
            <w:noProof/>
          </w:rPr>
          <w:t>to</w:t>
        </w:r>
        <w:r w:rsidR="00184CA7" w:rsidRPr="00184CA7">
          <w:rPr>
            <w:i/>
            <w:noProof/>
          </w:rPr>
          <w:t xml:space="preserve"> </w:t>
        </w:r>
        <w:r w:rsidR="009F7C0C" w:rsidRPr="00184CA7">
          <w:rPr>
            <w:i/>
            <w:noProof/>
          </w:rPr>
          <w:t>Improve</w:t>
        </w:r>
        <w:r w:rsidR="00184CA7" w:rsidRPr="00184CA7">
          <w:rPr>
            <w:i/>
            <w:noProof/>
          </w:rPr>
          <w:t xml:space="preserve"> </w:t>
        </w:r>
        <w:r w:rsidR="009F7C0C" w:rsidRPr="00184CA7">
          <w:rPr>
            <w:i/>
            <w:noProof/>
          </w:rPr>
          <w:t>Quality</w:t>
        </w:r>
        <w:r w:rsidR="00184CA7" w:rsidRPr="00184CA7">
          <w:rPr>
            <w:i/>
            <w:noProof/>
          </w:rPr>
          <w:t xml:space="preserve"> </w:t>
        </w:r>
        <w:r w:rsidR="00A12A94" w:rsidRPr="00184CA7">
          <w:rPr>
            <w:i/>
            <w:noProof/>
          </w:rPr>
          <w:t>Exercises</w:t>
        </w:r>
        <w:r>
          <w:rPr>
            <w:noProof/>
          </w:rPr>
          <w:t xml:space="preserve"> 2019</w:t>
        </w:r>
      </w:p>
    </w:sdtContent>
  </w:sdt>
  <w:p w:rsidR="0007624D" w:rsidRDefault="0007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A3" w:rsidRDefault="00C911A3" w:rsidP="00C911A3">
      <w:pPr>
        <w:spacing w:after="0" w:line="240" w:lineRule="auto"/>
      </w:pPr>
      <w:r>
        <w:separator/>
      </w:r>
    </w:p>
  </w:footnote>
  <w:footnote w:type="continuationSeparator" w:id="0">
    <w:p w:rsidR="00C911A3" w:rsidRDefault="00C911A3" w:rsidP="00C9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99" w:rsidRDefault="008F4899" w:rsidP="008F48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A0A521A" wp14:editId="6F7E3566">
          <wp:extent cx="1505585" cy="810895"/>
          <wp:effectExtent l="0" t="0" r="0" b="825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958"/>
    <w:multiLevelType w:val="hybridMultilevel"/>
    <w:tmpl w:val="3CC020E4"/>
    <w:lvl w:ilvl="0" w:tplc="6518D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B728F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8E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68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49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44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2E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AE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07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77C2A"/>
    <w:multiLevelType w:val="hybridMultilevel"/>
    <w:tmpl w:val="552866B4"/>
    <w:lvl w:ilvl="0" w:tplc="6518D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B728F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8E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68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49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44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2E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AE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07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73"/>
    <w:rsid w:val="0007624D"/>
    <w:rsid w:val="00184CA7"/>
    <w:rsid w:val="001E2F7C"/>
    <w:rsid w:val="001E3FBE"/>
    <w:rsid w:val="00316373"/>
    <w:rsid w:val="003C12FC"/>
    <w:rsid w:val="005E4CB1"/>
    <w:rsid w:val="006414CF"/>
    <w:rsid w:val="00773B2E"/>
    <w:rsid w:val="008E50CD"/>
    <w:rsid w:val="008F4899"/>
    <w:rsid w:val="00962ADC"/>
    <w:rsid w:val="009C2450"/>
    <w:rsid w:val="009E2085"/>
    <w:rsid w:val="009F7C0C"/>
    <w:rsid w:val="00A12A94"/>
    <w:rsid w:val="00B33458"/>
    <w:rsid w:val="00C360CA"/>
    <w:rsid w:val="00C911A3"/>
    <w:rsid w:val="00F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38F9"/>
  <w15:chartTrackingRefBased/>
  <w15:docId w15:val="{97EE253B-247C-4E0C-AF5A-94CD84E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6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A3"/>
  </w:style>
  <w:style w:type="paragraph" w:styleId="Footer">
    <w:name w:val="footer"/>
    <w:basedOn w:val="Normal"/>
    <w:link w:val="FooterChar"/>
    <w:uiPriority w:val="99"/>
    <w:unhideWhenUsed/>
    <w:rsid w:val="00C9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8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Walker</dc:creator>
  <cp:keywords/>
  <dc:description/>
  <cp:lastModifiedBy>Jacqueline Ryder</cp:lastModifiedBy>
  <cp:revision>21</cp:revision>
  <dcterms:created xsi:type="dcterms:W3CDTF">2019-01-30T09:22:00Z</dcterms:created>
  <dcterms:modified xsi:type="dcterms:W3CDTF">2019-10-07T13:01:00Z</dcterms:modified>
</cp:coreProperties>
</file>